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191411" w14:paraId="2832E8C8" w14:textId="77777777">
        <w:trPr>
          <w:cantSplit/>
        </w:trPr>
        <w:tc>
          <w:tcPr>
            <w:tcW w:w="4860" w:type="dxa"/>
            <w:shd w:val="clear" w:color="auto" w:fill="E6E6E6"/>
          </w:tcPr>
          <w:p w14:paraId="2832E8C4" w14:textId="77777777" w:rsidR="00191411" w:rsidRPr="00191411" w:rsidRDefault="00191411" w:rsidP="00B5538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91411">
              <w:rPr>
                <w:rFonts w:ascii="Arial" w:hAnsi="Arial" w:cs="Arial"/>
                <w:sz w:val="16"/>
                <w:szCs w:val="16"/>
              </w:rPr>
              <w:t>Número del protocolo del patrocinador:</w:t>
            </w:r>
            <w:r w:rsidR="00526682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>:</w:t>
            </w:r>
            <w:permStart w:id="952465707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952465707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860" w:type="dxa"/>
            <w:shd w:val="clear" w:color="auto" w:fill="E6E6E6"/>
          </w:tcPr>
          <w:p w14:paraId="2832E8C5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91411">
              <w:rPr>
                <w:rFonts w:ascii="Arial" w:hAnsi="Arial" w:cs="Arial"/>
                <w:sz w:val="16"/>
                <w:szCs w:val="16"/>
              </w:rPr>
              <w:t>Número del protocolo CEC-UCIMED</w:t>
            </w:r>
            <w:r w:rsidR="00B5538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ermStart w:id="330310331" w:edGrp="everyone"/>
            <w:r w:rsidR="00B5538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ermEnd w:id="330310331"/>
            <w:r w:rsidR="00B553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32E8C6" w14:textId="77777777" w:rsid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832E8C7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B57" w14:paraId="2832E8CB" w14:textId="77777777">
        <w:trPr>
          <w:cantSplit/>
        </w:trPr>
        <w:tc>
          <w:tcPr>
            <w:tcW w:w="9720" w:type="dxa"/>
            <w:gridSpan w:val="2"/>
            <w:shd w:val="clear" w:color="auto" w:fill="E6E6E6"/>
          </w:tcPr>
          <w:p w14:paraId="2832E8C9" w14:textId="77777777" w:rsidR="005D7B57" w:rsidRPr="00677470" w:rsidRDefault="005D7B57" w:rsidP="00191411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Protocolo 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>:</w:t>
            </w:r>
            <w:permStart w:id="105578628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105578628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2832E8CA" w14:textId="77777777" w:rsidR="005D7B57" w:rsidRPr="00677470" w:rsidRDefault="005D7B57" w:rsidP="00191411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91411" w14:paraId="2832E8D1" w14:textId="77777777">
        <w:trPr>
          <w:cantSplit/>
        </w:trPr>
        <w:tc>
          <w:tcPr>
            <w:tcW w:w="4860" w:type="dxa"/>
            <w:shd w:val="clear" w:color="auto" w:fill="E6E6E6"/>
          </w:tcPr>
          <w:p w14:paraId="2832E8CC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91411">
              <w:rPr>
                <w:rFonts w:ascii="Arial" w:hAnsi="Arial" w:cs="Arial"/>
                <w:sz w:val="16"/>
                <w:szCs w:val="16"/>
              </w:rPr>
              <w:t xml:space="preserve">Investigador principal:   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>:</w:t>
            </w:r>
            <w:permStart w:id="1262556302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1262556302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2832E8CD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E6E6E6"/>
          </w:tcPr>
          <w:p w14:paraId="2832E8CE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91411">
              <w:rPr>
                <w:rFonts w:ascii="Arial" w:hAnsi="Arial" w:cs="Arial"/>
                <w:sz w:val="16"/>
                <w:szCs w:val="16"/>
              </w:rPr>
              <w:t>Patrocinador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 xml:space="preserve"> :</w:t>
            </w:r>
            <w:permStart w:id="514865489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514865489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32E8CF" w14:textId="77777777" w:rsid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2832E8D0" w14:textId="77777777" w:rsidR="00191411" w:rsidRPr="00191411" w:rsidRDefault="00191411" w:rsidP="0019141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32E8D2" w14:textId="77777777" w:rsidR="00191411" w:rsidRPr="00D668BB" w:rsidRDefault="00191411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5D7B57" w14:paraId="2832E8D5" w14:textId="77777777">
        <w:tc>
          <w:tcPr>
            <w:tcW w:w="9720" w:type="dxa"/>
            <w:shd w:val="clear" w:color="auto" w:fill="E6E6E6"/>
          </w:tcPr>
          <w:p w14:paraId="2832E8D3" w14:textId="77777777" w:rsidR="005D7B57" w:rsidRPr="0008287C" w:rsidRDefault="005D7B57" w:rsidP="00252499">
            <w:pPr>
              <w:spacing w:before="120" w:after="120"/>
              <w:ind w:left="252"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Quien suscribe </w:t>
            </w:r>
            <w:r w:rsidR="00D8007E" w:rsidRPr="0008287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 xml:space="preserve">Nombre del </w:t>
            </w:r>
            <w:r w:rsidR="00252499">
              <w:rPr>
                <w:rFonts w:ascii="Arial" w:hAnsi="Arial" w:cs="Arial"/>
                <w:sz w:val="18"/>
                <w:szCs w:val="18"/>
              </w:rPr>
              <w:t>miembro del equipo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):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 xml:space="preserve"> :</w:t>
            </w:r>
            <w:permStart w:id="1984981655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1984981655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08287C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</w:p>
          <w:p w14:paraId="2832E8D4" w14:textId="77777777" w:rsidR="005D7B57" w:rsidRPr="00252499" w:rsidRDefault="005D7B57" w:rsidP="00B55386">
            <w:pPr>
              <w:spacing w:before="120" w:after="120"/>
              <w:ind w:left="249" w:right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87C">
              <w:rPr>
                <w:rFonts w:ascii="Arial" w:hAnsi="Arial" w:cs="Arial"/>
                <w:sz w:val="18"/>
                <w:szCs w:val="18"/>
              </w:rPr>
              <w:t>en mi condición de</w:t>
            </w:r>
            <w:r w:rsidR="00252499">
              <w:rPr>
                <w:rFonts w:ascii="Arial" w:hAnsi="Arial" w:cs="Arial"/>
                <w:sz w:val="18"/>
                <w:szCs w:val="18"/>
              </w:rPr>
              <w:t xml:space="preserve"> (puesto en el equipo de </w:t>
            </w:r>
            <w:r w:rsidR="00573B34">
              <w:rPr>
                <w:rFonts w:ascii="Arial" w:hAnsi="Arial" w:cs="Arial"/>
                <w:sz w:val="18"/>
                <w:szCs w:val="18"/>
              </w:rPr>
              <w:t>investigación</w:t>
            </w:r>
            <w:r w:rsidR="00252499">
              <w:rPr>
                <w:rFonts w:ascii="Arial" w:hAnsi="Arial" w:cs="Arial"/>
                <w:sz w:val="18"/>
                <w:szCs w:val="18"/>
              </w:rPr>
              <w:t>)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386" w:rsidRPr="00191411">
              <w:rPr>
                <w:rFonts w:ascii="Arial" w:hAnsi="Arial" w:cs="Arial"/>
                <w:sz w:val="16"/>
                <w:szCs w:val="16"/>
              </w:rPr>
              <w:t>:</w:t>
            </w:r>
            <w:permStart w:id="1422339550" w:edGrp="everyone"/>
            <w:r w:rsidR="00B55386" w:rsidRPr="0067747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permEnd w:id="1422339550"/>
            <w:r w:rsidR="00B5538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del estudio supracitado</w:t>
            </w:r>
            <w:r w:rsidR="0008287C"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declaro que mi primer consideración y preocupación en la conducción de esta investigación clínica será proteger a los participantes de riesgos e incomodidades innecesarias y de conducir la investigación bajo los estándares éticos científicos del mayor nivel. </w:t>
            </w:r>
          </w:p>
        </w:tc>
      </w:tr>
    </w:tbl>
    <w:p w14:paraId="2832E8D6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  <w:r>
        <w:t xml:space="preserve"> </w:t>
      </w:r>
      <w:r w:rsidR="00C86477">
        <w:tab/>
      </w:r>
      <w:r w:rsidR="00C86477">
        <w:tab/>
      </w:r>
      <w:r w:rsidR="00C86477">
        <w:tab/>
      </w:r>
      <w:r w:rsidR="00C86477">
        <w:tab/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D7B57" w14:paraId="2832E8D8" w14:textId="77777777">
        <w:tc>
          <w:tcPr>
            <w:tcW w:w="9720" w:type="dxa"/>
            <w:shd w:val="clear" w:color="auto" w:fill="E6E6E6"/>
          </w:tcPr>
          <w:p w14:paraId="2832E8D7" w14:textId="77777777" w:rsidR="005D7B57" w:rsidRPr="0008287C" w:rsidRDefault="005D7B57">
            <w:pPr>
              <w:pStyle w:val="Sangradetextonormal"/>
              <w:numPr>
                <w:ilvl w:val="0"/>
                <w:numId w:val="14"/>
              </w:numPr>
              <w:tabs>
                <w:tab w:val="clear" w:pos="1021"/>
              </w:tabs>
              <w:spacing w:before="120" w:after="120" w:line="240" w:lineRule="auto"/>
              <w:ind w:left="650" w:hanging="5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Me comprometo al</w:t>
            </w:r>
            <w:r w:rsidR="001F14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cumplimiento de los principios y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guías</w:t>
            </w:r>
            <w:r w:rsidR="003861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que a la letra dicen:</w:t>
            </w:r>
          </w:p>
        </w:tc>
      </w:tr>
      <w:tr w:rsidR="005D7B57" w14:paraId="2832E8F0" w14:textId="77777777">
        <w:trPr>
          <w:trHeight w:val="4379"/>
        </w:trPr>
        <w:tc>
          <w:tcPr>
            <w:tcW w:w="9720" w:type="dxa"/>
          </w:tcPr>
          <w:p w14:paraId="2832E8D9" w14:textId="77777777" w:rsidR="005D7B57" w:rsidRPr="0008287C" w:rsidRDefault="005D7B57" w:rsidP="002918AE">
            <w:pPr>
              <w:pStyle w:val="Sangradetextonormal"/>
              <w:ind w:left="650" w:right="4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1º—La investigación en salud en que participan seres humanos se desarrollará conforme a los siguientes principios:</w:t>
            </w:r>
          </w:p>
          <w:p w14:paraId="2832E8DA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72"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El interés del ser humano prevalece sobre los intereses de la ciencia.</w:t>
            </w:r>
          </w:p>
          <w:p w14:paraId="2832E8DB" w14:textId="77777777" w:rsidR="005D7B57" w:rsidRPr="0008287C" w:rsidRDefault="005D7B57" w:rsidP="002918AE">
            <w:pPr>
              <w:pStyle w:val="Sangra2detindependiente"/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ind w:left="1010" w:right="470" w:hanging="360"/>
              <w:rPr>
                <w:sz w:val="18"/>
                <w:szCs w:val="18"/>
              </w:rPr>
            </w:pPr>
            <w:r w:rsidRPr="0008287C">
              <w:rPr>
                <w:sz w:val="18"/>
                <w:szCs w:val="18"/>
              </w:rPr>
              <w:t>Deberá adaptarse a los principios científicos y éticos que justifican la investigación en salud, especialmente en lo que se refiere a su posible contribución, a la solución de problemas de salud y al desarrollo de nuevos campos de la ciencia.</w:t>
            </w:r>
          </w:p>
          <w:p w14:paraId="2832E8DC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efectuarse sólo cuando el conocimiento que se pretenda descubrir no pueda obtenerse por otro método idóneo.</w:t>
            </w:r>
          </w:p>
          <w:p w14:paraId="2832E8DD" w14:textId="77777777" w:rsidR="001F1485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Ninguna autoridad, pública ni privada, podrá autorizar alguna investigación, si</w:t>
            </w:r>
            <w:r w:rsidR="00FE6564">
              <w:rPr>
                <w:rFonts w:ascii="Arial" w:hAnsi="Arial" w:cs="Arial"/>
                <w:color w:val="000000"/>
                <w:sz w:val="18"/>
                <w:szCs w:val="18"/>
              </w:rPr>
              <w:t>n la aprobación del respectivo Comité É</w:t>
            </w:r>
            <w:r w:rsidR="00FE6564" w:rsidRPr="0008287C">
              <w:rPr>
                <w:rFonts w:ascii="Arial" w:hAnsi="Arial" w:cs="Arial"/>
                <w:color w:val="000000"/>
                <w:sz w:val="18"/>
                <w:szCs w:val="18"/>
              </w:rPr>
              <w:t>tico</w:t>
            </w:r>
            <w:r w:rsidR="00FE6564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F1485">
              <w:rPr>
                <w:rFonts w:ascii="Arial" w:hAnsi="Arial" w:cs="Arial"/>
                <w:color w:val="000000"/>
                <w:sz w:val="18"/>
                <w:szCs w:val="18"/>
              </w:rPr>
              <w:t>entífico debidamente acreditado.</w:t>
            </w:r>
          </w:p>
          <w:p w14:paraId="2832E8DE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efectuarse sólo cuando exista seguridad de que el </w:t>
            </w:r>
            <w:r w:rsidR="00FE6564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no se expone a riesgos ni daños innecesarios y se cuente con una póliza de seguro nacional que proteja la vida o la salud de este.</w:t>
            </w:r>
          </w:p>
          <w:p w14:paraId="2832E8DF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Deberá contarse con el consent</w:t>
            </w:r>
            <w:r w:rsidR="00FE6564">
              <w:rPr>
                <w:rFonts w:ascii="Arial" w:hAnsi="Arial" w:cs="Arial"/>
                <w:color w:val="000000"/>
                <w:sz w:val="18"/>
                <w:szCs w:val="18"/>
              </w:rPr>
              <w:t>imiento, por escrito, del participante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quien se realizará la investigación, o de su representante legal en caso de incapacidad legal de aquel; una vez enterado, en un lenguaje comprensible para él, de los objetivos de la experimentación y de las posibles consecuencias positivas o negativas para su salud.</w:t>
            </w:r>
          </w:p>
          <w:p w14:paraId="2832E8E0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realizarse únicamente bajo la responsabilidad de investigadores con acreditada experiencia en instituciones de salud, que actúen supervisados por las autoridades sanitarias competentes.</w:t>
            </w:r>
          </w:p>
          <w:p w14:paraId="2832E8E1" w14:textId="77777777" w:rsidR="005D7B57" w:rsidRPr="0008287C" w:rsidRDefault="00FE6564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profesional responsable, el C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>omit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é Ético C</w:t>
            </w:r>
            <w:r w:rsidR="005A2C99">
              <w:rPr>
                <w:rFonts w:ascii="Arial" w:hAnsi="Arial" w:cs="Arial"/>
                <w:color w:val="000000"/>
                <w:sz w:val="18"/>
                <w:szCs w:val="18"/>
              </w:rPr>
              <w:t>ientífico</w:t>
            </w:r>
            <w:r w:rsidR="00757CD3">
              <w:rPr>
                <w:rFonts w:ascii="Arial" w:hAnsi="Arial" w:cs="Arial"/>
                <w:color w:val="000000"/>
                <w:sz w:val="18"/>
                <w:szCs w:val="18"/>
              </w:rPr>
              <w:t>, el CONIS</w:t>
            </w:r>
            <w:r w:rsidR="005A2C99">
              <w:rPr>
                <w:rFonts w:ascii="Arial" w:hAnsi="Arial" w:cs="Arial"/>
                <w:color w:val="000000"/>
                <w:sz w:val="18"/>
                <w:szCs w:val="18"/>
              </w:rPr>
              <w:t xml:space="preserve"> o el Ministerio de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Salud, según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corresponda, deberán suspender la investigación en cualquier momento, si sobreviene riesgo de lesiones graves, invalidez o muerte del sujeto en quien se lleva a cabo la investigación.</w:t>
            </w:r>
          </w:p>
          <w:p w14:paraId="2832E8E2" w14:textId="77777777" w:rsidR="005D7B57" w:rsidRPr="0008287C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investigaciones en niños, mujeres embarazadas o lactantes, enfermos con trastornos mentales o conductuales, privados de libertad, ancianos o pacientes en estado terminal, deberán regirse estrictamente por las “Pautas éticas internacionales para la investigación biomédica en seres humanos” del Consejo de Organizaciones Internacionales de las Ciencias Médicas y la Organización Mundial de la Salud (CIOMS-OMS).</w:t>
            </w:r>
          </w:p>
          <w:p w14:paraId="2832E8E3" w14:textId="77777777" w:rsidR="005D7B57" w:rsidRDefault="005D7B57" w:rsidP="002918AE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line="289" w:lineRule="auto"/>
              <w:ind w:left="1010" w:right="470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demás que establezcan la correspondiente reglamentación, tanto del Ministerio de Salud, como de la Institución en que se realizará la investigación.</w:t>
            </w:r>
          </w:p>
          <w:p w14:paraId="2832E8E4" w14:textId="77777777" w:rsidR="00FE6564" w:rsidRPr="0008287C" w:rsidRDefault="00FE6564" w:rsidP="00FE6564">
            <w:pPr>
              <w:autoSpaceDE w:val="0"/>
              <w:autoSpaceDN w:val="0"/>
              <w:adjustRightInd w:val="0"/>
              <w:spacing w:line="289" w:lineRule="auto"/>
              <w:ind w:left="1010"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32E8E5" w14:textId="77777777" w:rsidR="005D7B57" w:rsidRPr="0008287C" w:rsidRDefault="005D7B57" w:rsidP="002918AE">
            <w:pPr>
              <w:autoSpaceDE w:val="0"/>
              <w:autoSpaceDN w:val="0"/>
              <w:adjustRightInd w:val="0"/>
              <w:ind w:left="650" w:right="47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2º—Toda investigación en salud con participación de seres humanos en nuestro país deberá regirse por los mandato</w:t>
            </w:r>
            <w:r w:rsidR="005A2C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las leyes de la República</w:t>
            </w: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debe realizarse con base en las normas y principios establecidos en:</w:t>
            </w:r>
          </w:p>
          <w:p w14:paraId="2832E8E6" w14:textId="77777777" w:rsidR="005D7B57" w:rsidRPr="0008287C" w:rsidRDefault="005D7B57" w:rsidP="002918AE">
            <w:pPr>
              <w:autoSpaceDE w:val="0"/>
              <w:autoSpaceDN w:val="0"/>
              <w:adjustRightInd w:val="0"/>
              <w:ind w:left="650" w:right="47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832E8E7" w14:textId="77777777" w:rsidR="00757CD3" w:rsidRPr="00757CD3" w:rsidRDefault="00757CD3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Ley #9234, </w:t>
            </w:r>
            <w:r w:rsidR="00FE6564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Ley Reguladora de Investigación B</w:t>
            </w:r>
            <w:r w:rsidR="00FE6564" w:rsidRPr="00757CD3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iomédica</w:t>
            </w:r>
          </w:p>
          <w:p w14:paraId="2832E8E8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Códigos de Ética y Moral de los Colegios Profesionales en ciencias de la salud.</w:t>
            </w:r>
          </w:p>
          <w:p w14:paraId="2832E8E9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de los Derechos Humanos.</w:t>
            </w:r>
          </w:p>
          <w:p w14:paraId="2832E8EA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de Helsinki de la Asociación Médica Mundial adoptada en Helsinki, Finlandia en 1964, y sus enmiendas posteriores.</w:t>
            </w:r>
          </w:p>
          <w:p w14:paraId="2832E8EB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para la Buena Práctica Clínica de la Conferencia Internacional de Armonización emitidas por los Estados Unidos, la Unión Europea y Japón en 1996 y sus enmiendas posteriores.</w:t>
            </w:r>
          </w:p>
          <w:p w14:paraId="2832E8EC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Pautas Éticas Internacionales para la Investigación Biomédica en Seres Humanos (CIOM / OMS) de 1993 y sus respectivas revisiones.</w:t>
            </w:r>
          </w:p>
          <w:p w14:paraId="2832E8ED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sobre el Genoma Humano y los Derechos Humanos.</w:t>
            </w:r>
          </w:p>
          <w:p w14:paraId="2832E8EE" w14:textId="77777777" w:rsidR="005D7B57" w:rsidRPr="0008287C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Operacionales para Comités de Ética que Evalúan Investigación Biomédica, de la Organización Mundial de la Salud, y sus respectivas revisiones.</w:t>
            </w:r>
          </w:p>
          <w:p w14:paraId="2832E8EF" w14:textId="77777777" w:rsidR="005D7B57" w:rsidRPr="002918AE" w:rsidRDefault="005D7B57" w:rsidP="002918A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 de Nuremberg de 1947.</w:t>
            </w:r>
          </w:p>
        </w:tc>
      </w:tr>
    </w:tbl>
    <w:p w14:paraId="2832E8F1" w14:textId="77777777" w:rsidR="005D7B57" w:rsidRPr="002918AE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918AE" w14:paraId="2832E8F3" w14:textId="77777777">
        <w:tc>
          <w:tcPr>
            <w:tcW w:w="9720" w:type="dxa"/>
            <w:shd w:val="clear" w:color="auto" w:fill="E6E6E6"/>
          </w:tcPr>
          <w:p w14:paraId="2832E8F2" w14:textId="77777777" w:rsidR="002918AE" w:rsidRPr="0008287C" w:rsidRDefault="002918AE" w:rsidP="002918AE">
            <w:pPr>
              <w:pStyle w:val="Sangradetextonormal"/>
              <w:numPr>
                <w:ilvl w:val="0"/>
                <w:numId w:val="14"/>
              </w:numPr>
              <w:tabs>
                <w:tab w:val="clear" w:pos="1021"/>
              </w:tabs>
              <w:spacing w:before="120" w:after="120" w:line="240" w:lineRule="auto"/>
              <w:ind w:left="650" w:hanging="5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Declaro que me comprometo a:</w:t>
            </w:r>
          </w:p>
        </w:tc>
      </w:tr>
      <w:tr w:rsidR="002918AE" w14:paraId="2832E8F5" w14:textId="77777777">
        <w:tc>
          <w:tcPr>
            <w:tcW w:w="9720" w:type="dxa"/>
          </w:tcPr>
          <w:p w14:paraId="2832E8F4" w14:textId="77777777" w:rsidR="002918AE" w:rsidRDefault="00252499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4A6939">
              <w:rPr>
                <w:rFonts w:ascii="Arial" w:hAnsi="Arial" w:cs="Arial"/>
                <w:bCs/>
                <w:sz w:val="18"/>
                <w:szCs w:val="18"/>
              </w:rPr>
              <w:t>o ofrecer ningún pago o beneficio al participante que pueda inducir su participación, así como de no establecer ninguna obligación financiera al participante, como podría ser el pago por los servicios de atención méd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ica.</w:t>
            </w:r>
          </w:p>
        </w:tc>
      </w:tr>
    </w:tbl>
    <w:p w14:paraId="2832E8F6" w14:textId="77777777" w:rsidR="005A2C99" w:rsidRDefault="005A2C99" w:rsidP="000E1E2A">
      <w:pPr>
        <w:pStyle w:val="Encabezado"/>
        <w:tabs>
          <w:tab w:val="clear" w:pos="4252"/>
          <w:tab w:val="clear" w:pos="8504"/>
        </w:tabs>
      </w:pPr>
    </w:p>
    <w:sectPr w:rsidR="005A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E8F9" w14:textId="77777777" w:rsidR="007C2DC4" w:rsidRDefault="007C2DC4">
      <w:r>
        <w:separator/>
      </w:r>
    </w:p>
  </w:endnote>
  <w:endnote w:type="continuationSeparator" w:id="0">
    <w:p w14:paraId="2832E8FA" w14:textId="77777777" w:rsidR="007C2DC4" w:rsidRDefault="007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BE2B" w14:textId="77777777" w:rsidR="00265146" w:rsidRDefault="002651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E90A" w14:textId="77777777" w:rsidR="005A2C99" w:rsidRDefault="005A2C99"/>
  <w:p w14:paraId="2832E90B" w14:textId="77777777" w:rsidR="005A2C99" w:rsidRDefault="005A2C99"/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5A2C99" w:rsidRPr="0008287C" w14:paraId="2832E90F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832E90C" w14:textId="132CACE0" w:rsidR="005A2C99" w:rsidRPr="0008287C" w:rsidRDefault="005A2C9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  <w:r w:rsidR="00265146" w:rsidRPr="00677470">
            <w:rPr>
              <w:rFonts w:ascii="Arial" w:hAnsi="Arial" w:cs="Arial"/>
              <w:sz w:val="18"/>
              <w:szCs w:val="18"/>
              <w:lang w:val="es-ES_tradnl"/>
            </w:rPr>
            <w:t xml:space="preserve"> </w:t>
          </w:r>
          <w:r w:rsidR="00265146">
            <w:rPr>
              <w:rFonts w:ascii="Arial" w:hAnsi="Arial" w:cs="Arial"/>
              <w:sz w:val="18"/>
              <w:szCs w:val="18"/>
              <w:lang w:val="es-ES_tradnl"/>
            </w:rPr>
            <w:t xml:space="preserve"> </w:t>
          </w:r>
          <w:permStart w:id="441937060" w:edGrp="everyone"/>
          <w:r w:rsidR="00265146">
            <w:rPr>
              <w:rFonts w:ascii="Arial" w:hAnsi="Arial" w:cs="Arial"/>
              <w:sz w:val="18"/>
              <w:szCs w:val="18"/>
              <w:lang w:val="es-ES_tradnl"/>
            </w:rPr>
            <w:t xml:space="preserve">     </w:t>
          </w:r>
          <w:permEnd w:id="441937060"/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832E90D" w14:textId="13266E3C" w:rsidR="005A2C99" w:rsidRPr="0008287C" w:rsidRDefault="005A2C9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  <w:r w:rsidR="00C6650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 </w:t>
          </w:r>
          <w:permStart w:id="361000737" w:edGrp="everyone"/>
          <w:r w:rsidR="00C6650A">
            <w:rPr>
              <w:rFonts w:ascii="Arial" w:hAnsi="Arial" w:cs="Arial"/>
              <w:sz w:val="18"/>
              <w:szCs w:val="18"/>
              <w:lang w:val="es-ES_tradnl"/>
            </w:rPr>
            <w:t xml:space="preserve">     </w:t>
          </w:r>
          <w:permEnd w:id="361000737"/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2832E90E" w14:textId="41049766" w:rsidR="005A2C99" w:rsidRPr="0008287C" w:rsidRDefault="005A2C9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  <w:r w:rsidR="00C6650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</w:t>
          </w:r>
          <w:permStart w:id="1407990432" w:edGrp="everyone"/>
          <w:r w:rsidR="00C6650A">
            <w:rPr>
              <w:rFonts w:ascii="Arial" w:hAnsi="Arial" w:cs="Arial"/>
              <w:sz w:val="18"/>
              <w:szCs w:val="18"/>
              <w:lang w:val="es-ES_tradnl"/>
            </w:rPr>
            <w:t xml:space="preserve">     </w:t>
          </w:r>
          <w:bookmarkStart w:id="0" w:name="_GoBack"/>
          <w:bookmarkEnd w:id="0"/>
          <w:permEnd w:id="1407990432"/>
        </w:p>
      </w:tc>
    </w:tr>
  </w:tbl>
  <w:p w14:paraId="2832E910" w14:textId="77777777" w:rsidR="005A2C99" w:rsidRDefault="005A2C99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2832E911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2832E912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  <w:p w14:paraId="2832E913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832E914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832E915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832E916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832E917" w14:textId="77777777" w:rsidR="005A2C99" w:rsidRDefault="005A2C9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</w:p>
  <w:p w14:paraId="2832E918" w14:textId="77777777" w:rsidR="005A2C99" w:rsidRDefault="005A2C99">
    <w:pPr>
      <w:pStyle w:val="Piedepgina"/>
      <w:shd w:val="clear" w:color="auto" w:fill="FFFFFF"/>
      <w:jc w:val="center"/>
      <w:rPr>
        <w:b/>
        <w:bCs/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EEB0" w14:textId="77777777" w:rsidR="00265146" w:rsidRDefault="00265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E8F7" w14:textId="77777777" w:rsidR="007C2DC4" w:rsidRDefault="007C2DC4">
      <w:r>
        <w:separator/>
      </w:r>
    </w:p>
  </w:footnote>
  <w:footnote w:type="continuationSeparator" w:id="0">
    <w:p w14:paraId="2832E8F8" w14:textId="77777777" w:rsidR="007C2DC4" w:rsidRDefault="007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DA60" w14:textId="77777777" w:rsidR="00265146" w:rsidRDefault="002651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5A2C99" w14:paraId="2832E904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8FB" w14:textId="77777777" w:rsidR="005A2C99" w:rsidRDefault="005A2C9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2832E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96450344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8FC" w14:textId="77777777" w:rsidR="005A2C99" w:rsidRDefault="005A2C99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2832E8FD" w14:textId="77777777" w:rsidR="005A2C99" w:rsidRDefault="00526682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32E91A" wp14:editId="2832E91B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6BBE7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" strokecolor="#339" strokeweight="1pt"/>
                </w:pict>
              </mc:Fallback>
            </mc:AlternateContent>
          </w:r>
        </w:p>
        <w:p w14:paraId="2832E8FE" w14:textId="77777777" w:rsidR="005A2C99" w:rsidRDefault="005A2C9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2832E8FF" w14:textId="77777777" w:rsidR="005A2C99" w:rsidRDefault="005A2C9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2832E900" w14:textId="77777777" w:rsidR="005A2C99" w:rsidRDefault="005A2C99">
          <w:pPr>
            <w:pStyle w:val="Ttulo3"/>
          </w:pPr>
          <w:r>
            <w:t>Dr. Andrés Vesalio Guzmán Calleja</w:t>
          </w:r>
        </w:p>
        <w:p w14:paraId="2832E901" w14:textId="77777777" w:rsidR="005A2C99" w:rsidRDefault="005A2C99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2832E902" w14:textId="77777777" w:rsidR="005A2C99" w:rsidRPr="00677470" w:rsidRDefault="005A2C99">
          <w:pPr>
            <w:pStyle w:val="Ttulo2"/>
            <w:rPr>
              <w:b w:val="0"/>
              <w:bCs w:val="0"/>
              <w:color w:val="333399"/>
              <w:sz w:val="22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903" w14:textId="77777777" w:rsidR="005A2C99" w:rsidRPr="00573B34" w:rsidRDefault="005A2C99" w:rsidP="00573B34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Formulario de compromisos </w:t>
          </w: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 xml:space="preserve">del 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>equipo de investigación.</w:t>
          </w:r>
        </w:p>
      </w:tc>
    </w:tr>
    <w:tr w:rsidR="005A2C99" w14:paraId="2832E908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905" w14:textId="77777777" w:rsidR="005A2C99" w:rsidRDefault="005A2C99" w:rsidP="00776E1C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Formulario: 034-form-v</w:t>
          </w:r>
          <w:r w:rsidR="00776E1C">
            <w:rPr>
              <w:b/>
              <w:bCs/>
              <w:color w:val="333399"/>
              <w:sz w:val="20"/>
              <w:szCs w:val="16"/>
            </w:rPr>
            <w:t>5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906" w14:textId="77777777" w:rsidR="005A2C99" w:rsidRDefault="00FE6564" w:rsidP="00776E1C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>Fecha: 06</w:t>
          </w:r>
          <w:r w:rsidR="00634A29">
            <w:rPr>
              <w:b/>
              <w:bCs/>
              <w:color w:val="333399"/>
              <w:sz w:val="20"/>
              <w:szCs w:val="16"/>
            </w:rPr>
            <w:t xml:space="preserve"> de mayo</w:t>
          </w:r>
          <w:r w:rsidR="00776E1C">
            <w:rPr>
              <w:b/>
              <w:bCs/>
              <w:color w:val="333399"/>
              <w:sz w:val="20"/>
              <w:szCs w:val="16"/>
            </w:rPr>
            <w:t xml:space="preserve"> del 2014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2832E907" w14:textId="4C11D565" w:rsidR="005A2C99" w:rsidRDefault="005A2C9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6650A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C6650A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2832E909" w14:textId="77777777" w:rsidR="005A2C99" w:rsidRDefault="005A2C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BBD3" w14:textId="77777777" w:rsidR="00265146" w:rsidRDefault="00265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94CA6"/>
    <w:multiLevelType w:val="hybridMultilevel"/>
    <w:tmpl w:val="79DA3564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F38284B2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/>
        <w:i w:val="0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D045127"/>
    <w:multiLevelType w:val="hybridMultilevel"/>
    <w:tmpl w:val="32D44074"/>
    <w:lvl w:ilvl="0" w:tplc="F38284B2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11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4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27E6E"/>
    <w:multiLevelType w:val="hybridMultilevel"/>
    <w:tmpl w:val="E0FE33FA"/>
    <w:lvl w:ilvl="0" w:tplc="5A08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jOU5gEk6sA8qENl3ug08k9p0gwtvO7o8ulg9DSnQf1jwZaidgw4uUFHgtIOZrfgdv+d0pmMWuJWP6RxlJe0aw==" w:salt="k+Jt7LOM9uEDoWU9I+hetw==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98"/>
    <w:rsid w:val="0008287C"/>
    <w:rsid w:val="0009178A"/>
    <w:rsid w:val="000B5151"/>
    <w:rsid w:val="000C3DE6"/>
    <w:rsid w:val="000D09DD"/>
    <w:rsid w:val="000E1E2A"/>
    <w:rsid w:val="00191411"/>
    <w:rsid w:val="001D0A0D"/>
    <w:rsid w:val="001F1485"/>
    <w:rsid w:val="00211649"/>
    <w:rsid w:val="00252499"/>
    <w:rsid w:val="00265146"/>
    <w:rsid w:val="0028484F"/>
    <w:rsid w:val="002918AE"/>
    <w:rsid w:val="003861BD"/>
    <w:rsid w:val="0047567D"/>
    <w:rsid w:val="004A6939"/>
    <w:rsid w:val="00514422"/>
    <w:rsid w:val="00520A58"/>
    <w:rsid w:val="00526682"/>
    <w:rsid w:val="00573B34"/>
    <w:rsid w:val="005A2C99"/>
    <w:rsid w:val="005D7B57"/>
    <w:rsid w:val="00634A29"/>
    <w:rsid w:val="00677470"/>
    <w:rsid w:val="00726CB3"/>
    <w:rsid w:val="00730AB7"/>
    <w:rsid w:val="00757CD3"/>
    <w:rsid w:val="00776E1C"/>
    <w:rsid w:val="007C2DC4"/>
    <w:rsid w:val="00866A24"/>
    <w:rsid w:val="00882189"/>
    <w:rsid w:val="008C35E6"/>
    <w:rsid w:val="00AD479E"/>
    <w:rsid w:val="00B54E14"/>
    <w:rsid w:val="00B55386"/>
    <w:rsid w:val="00B74AF3"/>
    <w:rsid w:val="00B76398"/>
    <w:rsid w:val="00BD5C07"/>
    <w:rsid w:val="00C20457"/>
    <w:rsid w:val="00C27001"/>
    <w:rsid w:val="00C6650A"/>
    <w:rsid w:val="00C86477"/>
    <w:rsid w:val="00D668BB"/>
    <w:rsid w:val="00D8007E"/>
    <w:rsid w:val="00ED6763"/>
    <w:rsid w:val="00F902F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832E8C4"/>
  <w15:docId w15:val="{0D5839E9-48FB-4F5F-965F-EC8018DE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ascii="Arial" w:hAnsi="Arial"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ascii="Arial" w:hAnsi="Arial" w:cs="Arial"/>
      <w:b/>
      <w:sz w:val="20"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26682"/>
    <w:rPr>
      <w:color w:val="808080"/>
    </w:rPr>
  </w:style>
  <w:style w:type="paragraph" w:styleId="Textodeglobo">
    <w:name w:val="Balloon Text"/>
    <w:basedOn w:val="Normal"/>
    <w:link w:val="TextodegloboCar"/>
    <w:rsid w:val="005266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66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F432-3AA0-48A1-8A74-C3D89220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664</Words>
  <Characters>3658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5</cp:revision>
  <cp:lastPrinted>2005-12-03T14:05:00Z</cp:lastPrinted>
  <dcterms:created xsi:type="dcterms:W3CDTF">2014-05-09T21:44:00Z</dcterms:created>
  <dcterms:modified xsi:type="dcterms:W3CDTF">2018-08-22T19:39:00Z</dcterms:modified>
</cp:coreProperties>
</file>